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2"/>
        </w:rPr>
        <w:t>LNERA</w:t>
      </w:r>
    </w:p>
    <w:p>
      <w:pPr>
        <w:jc w:val="center"/>
      </w:pPr>
      <w:r>
        <w:rPr>
          <w:b/>
          <w:color w:val="C69214"/>
          <w:sz w:val="44"/>
        </w:rPr>
        <w:t>Volume 4 — Caderno Técnico do SNEA e do CAPQ</w:t>
      </w:r>
    </w:p>
    <w:p>
      <w:pPr>
        <w:jc w:val="center"/>
      </w:pPr>
      <w:r>
        <w:rPr>
          <w:i/>
          <w:color w:val="1F2937"/>
          <w:sz w:val="24"/>
        </w:rPr>
        <w:t>Metodologia preliminar de dimensionamento, indicadores e governança de dados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2"/>
      </w:tblGrid>
      <w:tr>
        <w:tc>
          <w:tcPr>
            <w:tcW w:type="dxa" w:w="9936"/>
            <w:shd w:fill="EAF0F7"/>
            <w:vAlign w:val="center"/>
          </w:tcPr>
          <w:p>
            <w:r/>
            <w:r>
              <w:rPr>
                <w:b/>
                <w:color w:val="17365D"/>
                <w:sz w:val="22"/>
              </w:rPr>
              <w:t>Eficiência mensurável • Estruturas proporcionais • Transparência integral • Tecnologia responsável</w:t>
            </w:r>
          </w:p>
        </w:tc>
      </w:tr>
    </w:tbl>
    <w:p>
      <w:r>
        <w:br w:type="page"/>
      </w:r>
    </w:p>
    <w:p>
      <w:pPr>
        <w:pStyle w:val="Heading1"/>
      </w:pPr>
      <w:r>
        <w:t>1. Arquitetura do sistema</w:t>
      </w:r>
    </w:p>
    <w:p>
      <w:r>
        <w:t>O SNEA é uma infraestrutura cooperativa de informação e melhoria contínua. Não cria uma cadeia nacional de comando. Seus componentes são metodologia, padrões de dados, portal público, assistência técnica, auditoria e ciclos de revisão.</w:t>
      </w:r>
    </w:p>
    <w:p>
      <w:pPr>
        <w:pStyle w:val="Heading1"/>
      </w:pPr>
      <w:r>
        <w:t>2. CAPQ: conceito e limites</w:t>
      </w:r>
    </w:p>
    <w:p>
      <w:r>
        <w:t>O CAPQ estima uma faixa adequada de capacidade e custo. Ele não produz um “número mágico”. A saída deve apresentar faixa mínima, faixa de referência e faixa máxima justificada, acompanhadas de incerteza e fatores locais.</w:t>
      </w:r>
    </w:p>
    <w:p>
      <w:pPr>
        <w:pStyle w:val="Heading1"/>
      </w:pPr>
      <w:r>
        <w:t>3. Dimensões do CAPQ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Dimensão</w:t>
            </w:r>
          </w:p>
        </w:tc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Elementos mínimos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Demanda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população/público, volume, sazonalidade, canais e prazos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Complexidade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competências, risco jurídico, especialização, impacto e diversidade de casos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Território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distâncias, dispersão, presença física, conectividade e vulnerabilidade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Capacidade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pessoal efetivo, competências, infraestrutura, dados e gestão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Tecnologia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digitalização, integração, automação, IA, acessibilidade e segurança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Qualidade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resolução, retrabalho, prazo, satisfação, equidade e continuidade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Integridade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segregação, auditoria, conflitos, anomalias de folha e transparência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Custo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remuneração total, encargos, contratos, instalações, tecnologia e apoio</w:t>
            </w:r>
          </w:p>
        </w:tc>
      </w:tr>
    </w:tbl>
    <w:p>
      <w:pPr>
        <w:pStyle w:val="Heading1"/>
      </w:pPr>
      <w:r>
        <w:t>4. Processo de cálculo</w:t>
      </w:r>
    </w:p>
    <w:p>
      <w:pPr>
        <w:pStyle w:val="ListNumber"/>
      </w:pPr>
      <w:r>
        <w:t>Classificar o tipo de órgão e suas competências legais.</w:t>
      </w:r>
    </w:p>
    <w:p>
      <w:pPr>
        <w:pStyle w:val="ListNumber"/>
      </w:pPr>
      <w:r>
        <w:t>Mapear serviços, processos, demandas, riscos e canais.</w:t>
      </w:r>
    </w:p>
    <w:p>
      <w:pPr>
        <w:pStyle w:val="ListNumber"/>
      </w:pPr>
      <w:r>
        <w:t>Separar funções permanentes, liderança, assessoramento e atividades temporárias.</w:t>
      </w:r>
    </w:p>
    <w:p>
      <w:pPr>
        <w:pStyle w:val="ListNumber"/>
      </w:pPr>
      <w:r>
        <w:t>Medir capacidade atual e gargalos.</w:t>
      </w:r>
    </w:p>
    <w:p>
      <w:pPr>
        <w:pStyle w:val="ListNumber"/>
      </w:pPr>
      <w:r>
        <w:t>Aplicar fatores de complexidade e território.</w:t>
      </w:r>
    </w:p>
    <w:p>
      <w:pPr>
        <w:pStyle w:val="ListNumber"/>
      </w:pPr>
      <w:r>
        <w:t>Avaliar alternativas de simplificação e tecnologia.</w:t>
      </w:r>
    </w:p>
    <w:p>
      <w:pPr>
        <w:pStyle w:val="ListNumber"/>
      </w:pPr>
      <w:r>
        <w:t>Estimar faixa de capacidade necessária e custo total.</w:t>
      </w:r>
    </w:p>
    <w:p>
      <w:pPr>
        <w:pStyle w:val="ListNumber"/>
      </w:pPr>
      <w:r>
        <w:t>Submeter a validação técnica, controle interno e consulta pública proporcional.</w:t>
      </w:r>
    </w:p>
    <w:p>
      <w:pPr>
        <w:pStyle w:val="ListNumber"/>
      </w:pPr>
      <w:r>
        <w:t>Publicar memória de cálculo e plano de revisão.</w:t>
      </w:r>
    </w:p>
    <w:p>
      <w:pPr>
        <w:pStyle w:val="Heading1"/>
      </w:pPr>
      <w:r>
        <w:t>5. Indicadores do SNEA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vAlign w:val="center"/>
            <w:shd w:fill="17365D"/>
          </w:tcPr>
          <w:p>
            <w:r/>
            <w:r>
              <w:rPr>
                <w:b/>
                <w:color w:val="FFFFFF"/>
                <w:sz w:val="16"/>
              </w:rPr>
              <w:t>Sigla</w:t>
            </w:r>
          </w:p>
        </w:tc>
        <w:tc>
          <w:tcPr>
            <w:tcW w:type="dxa" w:w="3312"/>
            <w:vAlign w:val="center"/>
            <w:shd w:fill="17365D"/>
          </w:tcPr>
          <w:p>
            <w:r/>
            <w:r>
              <w:rPr>
                <w:b/>
                <w:color w:val="FFFFFF"/>
                <w:sz w:val="16"/>
              </w:rPr>
              <w:t>Nome</w:t>
            </w:r>
          </w:p>
        </w:tc>
        <w:tc>
          <w:tcPr>
            <w:tcW w:type="dxa" w:w="3312"/>
            <w:vAlign w:val="center"/>
            <w:shd w:fill="17365D"/>
          </w:tcPr>
          <w:p>
            <w:r/>
            <w:r>
              <w:rPr>
                <w:b/>
                <w:color w:val="FFFFFF"/>
                <w:sz w:val="16"/>
              </w:rPr>
              <w:t>Finalidade</w:t>
            </w:r>
          </w:p>
        </w:tc>
      </w:tr>
      <w:tr>
        <w:tc>
          <w:tcPr>
            <w:tcW w:type="dxa" w:w="3312"/>
            <w:vAlign w:val="center"/>
          </w:tcPr>
          <w:p>
            <w:r/>
            <w:r>
              <w:rPr>
                <w:b/>
                <w:color w:val="1F2937"/>
                <w:sz w:val="16"/>
              </w:rPr>
              <w:t>INEA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Índice Nacional de Eficiência Administrativa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combinação equilibrada de qualidade, prazo, custo, integridade, transparência e satisfação</w:t>
            </w:r>
          </w:p>
        </w:tc>
      </w:tr>
      <w:tr>
        <w:tc>
          <w:tcPr>
            <w:tcW w:type="dxa" w:w="3312"/>
            <w:vAlign w:val="center"/>
          </w:tcPr>
          <w:p>
            <w:r/>
            <w:r>
              <w:rPr>
                <w:b/>
                <w:color w:val="1F2937"/>
                <w:sz w:val="16"/>
              </w:rPr>
              <w:t>ICEP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Índice de Conformidade Estrutural Pública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posição da estrutura existente em relação à faixa CAPQ, sem juízo automático de irregularidade</w:t>
            </w:r>
          </w:p>
        </w:tc>
      </w:tr>
      <w:tr>
        <w:tc>
          <w:tcPr>
            <w:tcW w:type="dxa" w:w="3312"/>
            <w:vAlign w:val="center"/>
          </w:tcPr>
          <w:p>
            <w:r/>
            <w:r>
              <w:rPr>
                <w:b/>
                <w:color w:val="1F2937"/>
                <w:sz w:val="16"/>
              </w:rPr>
              <w:t>IPA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Índice de Produtividade Administrativa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entregas ponderadas por complexidade e qualidade, evitando contagem bruta</w:t>
            </w:r>
          </w:p>
        </w:tc>
      </w:tr>
      <w:tr>
        <w:tc>
          <w:tcPr>
            <w:tcW w:type="dxa" w:w="3312"/>
            <w:vAlign w:val="center"/>
          </w:tcPr>
          <w:p>
            <w:r/>
            <w:r>
              <w:rPr>
                <w:b/>
                <w:color w:val="1F2937"/>
                <w:sz w:val="16"/>
              </w:rPr>
              <w:t>IAT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Índice de Aproveitamento Tecnológico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maturidade digital, interoperabilidade, automação, IA responsável, segurança e acessibilidade</w:t>
            </w:r>
          </w:p>
        </w:tc>
      </w:tr>
      <w:tr>
        <w:tc>
          <w:tcPr>
            <w:tcW w:type="dxa" w:w="3312"/>
            <w:vAlign w:val="center"/>
          </w:tcPr>
          <w:p>
            <w:r/>
            <w:r>
              <w:rPr>
                <w:b/>
                <w:color w:val="1F2937"/>
                <w:sz w:val="16"/>
              </w:rPr>
              <w:t>IIE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Índice de Integridade Estrutural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b w:val="0"/>
                <w:color w:val="1F2937"/>
                <w:sz w:val="16"/>
              </w:rPr>
              <w:t>riscos de folha, conflitos, segregação, frequência, entregas e controles</w:t>
            </w:r>
          </w:p>
        </w:tc>
      </w:tr>
    </w:tbl>
    <w:p>
      <w:pPr>
        <w:pStyle w:val="Heading1"/>
      </w:pPr>
      <w:r>
        <w:t>6. Teste de Alternativas Organizacionais e Tecnológicas — TAOT</w:t>
      </w:r>
    </w:p>
    <w:p>
      <w:pPr>
        <w:pStyle w:val="ListBullet"/>
      </w:pPr>
      <w:r>
        <w:t>A atividade pode ser eliminada por mudança normativa ou simplificação?</w:t>
      </w:r>
    </w:p>
    <w:p>
      <w:pPr>
        <w:pStyle w:val="ListBullet"/>
      </w:pPr>
      <w:r>
        <w:t>Pode ser incorporada a processo existente?</w:t>
      </w:r>
    </w:p>
    <w:p>
      <w:pPr>
        <w:pStyle w:val="ListBullet"/>
      </w:pPr>
      <w:r>
        <w:t>Pode ser compartilhada entre órgãos ou unidades?</w:t>
      </w:r>
    </w:p>
    <w:p>
      <w:pPr>
        <w:pStyle w:val="ListBullet"/>
      </w:pPr>
      <w:r>
        <w:t>Pode ser executada por serviço central de apoio?</w:t>
      </w:r>
    </w:p>
    <w:p>
      <w:pPr>
        <w:pStyle w:val="ListBullet"/>
      </w:pPr>
      <w:r>
        <w:t>Pode ser digitalizada com acessibilidade?</w:t>
      </w:r>
    </w:p>
    <w:p>
      <w:pPr>
        <w:pStyle w:val="ListBullet"/>
      </w:pPr>
      <w:r>
        <w:t>Pode ser automatizada parcialmente, mantendo supervisão?</w:t>
      </w:r>
    </w:p>
    <w:p>
      <w:pPr>
        <w:pStyle w:val="ListBullet"/>
      </w:pPr>
      <w:r>
        <w:t>A IA agrega capacidade sem elevar riscos a nível inaceitável?</w:t>
      </w:r>
    </w:p>
    <w:p>
      <w:pPr>
        <w:pStyle w:val="ListBullet"/>
      </w:pPr>
      <w:r>
        <w:t>A atividade exige presença territorial, vínculo humano ou julgamento especializado?</w:t>
      </w:r>
    </w:p>
    <w:p>
      <w:pPr>
        <w:pStyle w:val="ListBullet"/>
      </w:pPr>
      <w:r>
        <w:t>A solução reduz custo total sem deslocar custos ocultos ao cidadão?</w:t>
      </w:r>
    </w:p>
    <w:p>
      <w:pPr>
        <w:pStyle w:val="ListBullet"/>
      </w:pPr>
      <w:r>
        <w:t>Existe plano de continuidade e alternativa em caso de falha tecnológica?</w:t>
      </w:r>
    </w:p>
    <w:p>
      <w:pPr>
        <w:pStyle w:val="Heading1"/>
      </w:pPr>
      <w:r>
        <w:t>7. Dados mínimos do Portal Nacional</w:t>
      </w:r>
    </w:p>
    <w:p>
      <w:pPr>
        <w:pStyle w:val="ListBullet"/>
      </w:pPr>
      <w:r>
        <w:t>estrutura autorizada, ocupada e vaga;</w:t>
      </w:r>
    </w:p>
    <w:p>
      <w:pPr>
        <w:pStyle w:val="ListBullet"/>
      </w:pPr>
      <w:r>
        <w:t>cargos efetivos, comissionados e funções de confiança;</w:t>
      </w:r>
    </w:p>
    <w:p>
      <w:pPr>
        <w:pStyle w:val="ListBullet"/>
      </w:pPr>
      <w:r>
        <w:t>atribuições legais e requisitos;</w:t>
      </w:r>
    </w:p>
    <w:p>
      <w:pPr>
        <w:pStyle w:val="ListBullet"/>
      </w:pPr>
      <w:r>
        <w:t>custos agregados e séries históricas;</w:t>
      </w:r>
    </w:p>
    <w:p>
      <w:pPr>
        <w:pStyle w:val="ListBullet"/>
      </w:pPr>
      <w:r>
        <w:t>demanda, prazos e qualidade;</w:t>
      </w:r>
    </w:p>
    <w:p>
      <w:pPr>
        <w:pStyle w:val="ListBullet"/>
      </w:pPr>
      <w:r>
        <w:t>relatórios de revisão estrutural;</w:t>
      </w:r>
    </w:p>
    <w:p>
      <w:pPr>
        <w:pStyle w:val="ListBullet"/>
      </w:pPr>
      <w:r>
        <w:t>estudos ENE e TAOT;</w:t>
      </w:r>
    </w:p>
    <w:p>
      <w:pPr>
        <w:pStyle w:val="ListBullet"/>
      </w:pPr>
      <w:r>
        <w:t>metodologias e memória de cálculo;</w:t>
      </w:r>
    </w:p>
    <w:p>
      <w:pPr>
        <w:pStyle w:val="ListBullet"/>
      </w:pPr>
      <w:r>
        <w:t>alertas de qualidade, integridade e acessibilidade;</w:t>
      </w:r>
    </w:p>
    <w:p>
      <w:pPr>
        <w:pStyle w:val="ListBullet"/>
      </w:pPr>
      <w:r>
        <w:t>planos de adequação e resultados.</w:t>
      </w:r>
    </w:p>
    <w:p>
      <w:pPr>
        <w:pStyle w:val="Heading1"/>
      </w:pPr>
      <w:r>
        <w:t>8. Governança e prevenção de distorções</w:t>
      </w:r>
    </w:p>
    <w:p>
      <w:pPr>
        <w:pStyle w:val="ListBullet"/>
      </w:pPr>
      <w:r>
        <w:t>Conselho técnico plural, preferencialmente formado por instituições existentes, sem criação de estrutura permanente desnecessária.</w:t>
      </w:r>
    </w:p>
    <w:p>
      <w:pPr>
        <w:pStyle w:val="ListBullet"/>
      </w:pPr>
      <w:r>
        <w:t>Consulta pública das metodologias.</w:t>
      </w:r>
    </w:p>
    <w:p>
      <w:pPr>
        <w:pStyle w:val="ListBullet"/>
      </w:pPr>
      <w:r>
        <w:t>Auditoria independente e reprodutibilidade dos cálculos.</w:t>
      </w:r>
    </w:p>
    <w:p>
      <w:pPr>
        <w:pStyle w:val="ListBullet"/>
      </w:pPr>
      <w:r>
        <w:t>Proibição de ranking simplista sem contexto.</w:t>
      </w:r>
    </w:p>
    <w:p>
      <w:pPr>
        <w:pStyle w:val="ListBullet"/>
      </w:pPr>
      <w:r>
        <w:t>Mecanismo de contestação e correção de dados.</w:t>
      </w:r>
    </w:p>
    <w:p>
      <w:pPr>
        <w:pStyle w:val="ListBullet"/>
      </w:pPr>
      <w:r>
        <w:t>Avaliação periódica de vieses e impactos sobre pequenos municípios e grupos vulneráveis.</w:t>
      </w:r>
    </w:p>
    <w:p>
      <w:pPr>
        <w:pStyle w:val="ListBullet"/>
      </w:pPr>
      <w:r>
        <w:t>Versões públicas da metodologia e histórico de alterações.</w:t>
      </w:r>
    </w:p>
    <w:p>
      <w:pPr>
        <w:pStyle w:val="Heading1"/>
      </w:pPr>
      <w:r>
        <w:t>9. Roteiro de implantação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Entrega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0–12 meses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regulamentação, padrões de dados e pilotos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12–24 meses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diagnóstico inicial e portal mínimo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24–48 meses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primeiro ciclo CAPQ e planos de adequação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4–8 anos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transição gradual, avaliação e aperfeiçoamento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a cada 4 anos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revisão metodológica e estrutural</w:t>
            </w:r>
          </w:p>
        </w:tc>
      </w:tr>
    </w:tbl>
    <w:p>
      <w:pPr>
        <w:pStyle w:val="Heading1"/>
      </w:pPr>
      <w:r>
        <w:t>Referências normativas essenciais</w:t>
      </w:r>
    </w:p>
    <w:p>
      <w:pPr>
        <w:pStyle w:val="ListBullet"/>
      </w:pPr>
      <w:r>
        <w:t>BRASIL. Constituição da República Federativa do Brasil de 1988, especialmente arts. 18, 29, 37, 39, 48, 51, 52, 61, 70, 74, 75, 84, 163 e 169.</w:t>
      </w:r>
    </w:p>
    <w:p>
      <w:pPr>
        <w:pStyle w:val="ListBullet"/>
      </w:pPr>
      <w:r>
        <w:t>BRASIL. Lei Complementar nº 101, de 4 de maio de 2000 — Lei de Responsabilidade Fiscal.</w:t>
      </w:r>
    </w:p>
    <w:p>
      <w:pPr>
        <w:pStyle w:val="ListBullet"/>
      </w:pPr>
      <w:r>
        <w:t>BRASIL. Lei nº 12.527, de 18 de novembro de 2011 — Lei de Acesso à Informação.</w:t>
      </w:r>
    </w:p>
    <w:p>
      <w:pPr>
        <w:pStyle w:val="ListBullet"/>
      </w:pPr>
      <w:r>
        <w:t>BRASIL. Lei nº 13.460, de 26 de junho de 2017 — Direitos do Usuário dos Serviços Públicos.</w:t>
      </w:r>
    </w:p>
    <w:p>
      <w:pPr>
        <w:pStyle w:val="ListBullet"/>
      </w:pPr>
      <w:r>
        <w:t>BRASIL. Lei nº 14.129, de 29 de março de 2021 — Governo Digital e aumento da eficiência pública.</w:t>
      </w:r>
    </w:p>
    <w:p>
      <w:pPr>
        <w:pStyle w:val="ListBullet"/>
      </w:pPr>
      <w:r>
        <w:t>SUPREMO TRIBUNAL FEDERAL. Tema 1.010 da repercussão geral: requisitos constitucionais para criação de cargos em comissão.</w:t>
      </w:r>
    </w:p>
    <w:p>
      <w:pPr>
        <w:pStyle w:val="ListBullet"/>
      </w:pPr>
      <w:r>
        <w:t>BRASIL. Decreto nº 12.069, de 21 de junho de 2024 — Estratégia Nacional de Governo Digital 2024–2027 e Rede Gov.br.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4D6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Documento de formulação cidadã. O texto deve ser submetido à revisão de consultoria legislativa, jurídica, orçamentária e de proteção de dados antes de sua apresentação formal.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Minuta cidadã para debate público • versão inicial •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A5A5A"/>
        <w:sz w:val="16"/>
      </w:rPr>
      <w:t>LNERA — Lei Nacional de Eficiência e Responsabilidade Administrativa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92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