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62"/>
        </w:rPr>
        <w:t>LNERA</w:t>
      </w:r>
    </w:p>
    <w:p>
      <w:pPr>
        <w:jc w:val="center"/>
      </w:pPr>
      <w:r>
        <w:rPr>
          <w:b/>
          <w:color w:val="C69214"/>
          <w:sz w:val="44"/>
        </w:rPr>
        <w:t>Volume 3 — Exposição de Motivos</w:t>
      </w:r>
    </w:p>
    <w:p>
      <w:pPr>
        <w:jc w:val="center"/>
      </w:pPr>
      <w:r>
        <w:rPr>
          <w:i/>
          <w:color w:val="1F2937"/>
          <w:sz w:val="24"/>
        </w:rPr>
        <w:t>Fundamentos, diagnóstico, objetivos e respostas às principais objeções</w:t>
      </w:r>
    </w:p>
    <w:p>
      <w:r>
        <w:br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2"/>
      </w:tblGrid>
      <w:tr>
        <w:tc>
          <w:tcPr>
            <w:tcW w:type="dxa" w:w="9936"/>
            <w:shd w:fill="EAF0F7"/>
            <w:vAlign w:val="center"/>
          </w:tcPr>
          <w:p>
            <w:r/>
            <w:r>
              <w:rPr>
                <w:b/>
                <w:color w:val="17365D"/>
                <w:sz w:val="22"/>
              </w:rPr>
              <w:t>Eficiência mensurável • Estruturas proporcionais • Transparência integral • Tecnologia responsável</w:t>
            </w:r>
          </w:p>
        </w:tc>
      </w:tr>
    </w:tbl>
    <w:p>
      <w:r>
        <w:br w:type="page"/>
      </w:r>
    </w:p>
    <w:p>
      <w:pPr>
        <w:pStyle w:val="Heading1"/>
      </w:pPr>
      <w:r>
        <w:t>1. Síntese executiva</w:t>
      </w:r>
    </w:p>
    <w:p>
      <w:r>
        <w:t>A LNERA propõe um pacto nacional para que o tamanho e o custo das estruturas públicas sejam justificados por necessidade, complexidade e resultados. Seu foco não é a redução indiscriminada de servidores, mas a redução de cargos sem função clara, duplicidades, estruturas anacrônicas e expansão sem avaliação.</w:t>
      </w:r>
    </w:p>
    <w:p>
      <w:pPr>
        <w:pStyle w:val="Heading1"/>
      </w:pPr>
      <w:r>
        <w:t>2. Problema público</w:t>
      </w:r>
    </w:p>
    <w:p>
      <w:pPr>
        <w:pStyle w:val="ListBullet"/>
      </w:pPr>
      <w:r>
        <w:t>Ausência de metodologia nacional comparável para dimensionar estruturas administrativas.</w:t>
      </w:r>
    </w:p>
    <w:p>
      <w:pPr>
        <w:pStyle w:val="ListBullet"/>
      </w:pPr>
      <w:r>
        <w:t>Criação e manutenção de cargos sem revisão periódica.</w:t>
      </w:r>
    </w:p>
    <w:p>
      <w:pPr>
        <w:pStyle w:val="ListBullet"/>
      </w:pPr>
      <w:r>
        <w:t>Assimetria de transparência entre Poderes e entes.</w:t>
      </w:r>
    </w:p>
    <w:p>
      <w:pPr>
        <w:pStyle w:val="ListBullet"/>
      </w:pPr>
      <w:r>
        <w:t>Risco de utilização de cargos para finalidades privadas, nepotismo indireto, funcionários fictícios ou devolução ilícita de remuneração.</w:t>
      </w:r>
    </w:p>
    <w:p>
      <w:pPr>
        <w:pStyle w:val="ListBullet"/>
      </w:pPr>
      <w:r>
        <w:t>Substituição inadequada de funções permanentes e técnicas por vínculos de livre nomeação.</w:t>
      </w:r>
    </w:p>
    <w:p>
      <w:pPr>
        <w:pStyle w:val="ListBullet"/>
      </w:pPr>
      <w:r>
        <w:t>Baixo aproveitamento de simplificação, interoperabilidade, automação e inteligência artificial.</w:t>
      </w:r>
    </w:p>
    <w:p>
      <w:pPr>
        <w:pStyle w:val="Heading1"/>
      </w:pPr>
      <w:r>
        <w:t>3. Base constitucional e jurisprudencial</w:t>
      </w:r>
    </w:p>
    <w:p>
      <w:r>
        <w:t>A Constituição determina legalidade, impessoalidade, moralidade, publicidade e eficiência. Os cargos em comissão destinam-se apenas a direção, chefia e assessoramento. No Tema 1.010, o STF fixou requisitos de finalidade, confiança, proporcionalidade e descrição clara das atribuições. A LNERA transforma esses critérios em rotinas verificáveis de planejamento, transparência e controle.</w:t>
      </w:r>
    </w:p>
    <w:p>
      <w:pPr>
        <w:pStyle w:val="Heading1"/>
      </w:pPr>
      <w:r>
        <w:t>4. Teoria da mudança</w:t>
      </w:r>
    </w:p>
    <w:p>
      <w:pPr>
        <w:pStyle w:val="ListNumber"/>
      </w:pPr>
      <w:r>
        <w:t>Publicar a estrutura real e seu custo.</w:t>
      </w:r>
    </w:p>
    <w:p>
      <w:pPr>
        <w:pStyle w:val="ListNumber"/>
      </w:pPr>
      <w:r>
        <w:t>Comparar necessidade, demanda, complexidade e capacidade instalada.</w:t>
      </w:r>
    </w:p>
    <w:p>
      <w:pPr>
        <w:pStyle w:val="ListNumber"/>
      </w:pPr>
      <w:r>
        <w:t>Testar alternativas organizacionais e tecnológicas.</w:t>
      </w:r>
    </w:p>
    <w:p>
      <w:pPr>
        <w:pStyle w:val="ListNumber"/>
      </w:pPr>
      <w:r>
        <w:t>Definir plano de adequação gradual e mensurável.</w:t>
      </w:r>
    </w:p>
    <w:p>
      <w:pPr>
        <w:pStyle w:val="ListNumber"/>
      </w:pPr>
      <w:r>
        <w:t>Monitorar qualidade, integridade, economia e satisfação.</w:t>
      </w:r>
    </w:p>
    <w:p>
      <w:pPr>
        <w:pStyle w:val="ListNumber"/>
      </w:pPr>
      <w:r>
        <w:t>Revisar parâmetros e corrigir distorções continuamente.</w:t>
      </w:r>
    </w:p>
    <w:p>
      <w:pPr>
        <w:pStyle w:val="Heading1"/>
      </w:pPr>
      <w:r>
        <w:t>5. O que a proposta não faz</w:t>
      </w:r>
    </w:p>
    <w:p>
      <w:pPr>
        <w:pStyle w:val="ListBullet"/>
      </w:pPr>
      <w:r>
        <w:t>Não extingue automaticamente cargos por fórmula matemática.</w:t>
      </w:r>
    </w:p>
    <w:p>
      <w:pPr>
        <w:pStyle w:val="ListBullet"/>
      </w:pPr>
      <w:r>
        <w:t>Não substitui servidores por IA sem avaliação de risco.</w:t>
      </w:r>
    </w:p>
    <w:p>
      <w:pPr>
        <w:pStyle w:val="ListBullet"/>
      </w:pPr>
      <w:r>
        <w:t>Não impõe produtividade industrial a funções legislativas, jurisdicionais ou de controle.</w:t>
      </w:r>
    </w:p>
    <w:p>
      <w:pPr>
        <w:pStyle w:val="ListBullet"/>
      </w:pPr>
      <w:r>
        <w:t>Não invade a autonomia dos Poderes; cria normas gerais e padrões cooperativos.</w:t>
      </w:r>
    </w:p>
    <w:p>
      <w:pPr>
        <w:pStyle w:val="ListBullet"/>
      </w:pPr>
      <w:r>
        <w:t>Não expõe dados pessoais desnecessários.</w:t>
      </w:r>
    </w:p>
    <w:p>
      <w:pPr>
        <w:pStyle w:val="ListBullet"/>
      </w:pPr>
      <w:r>
        <w:t>Não transforma economia financeira no único objetivo do Estado.</w:t>
      </w:r>
    </w:p>
    <w:p>
      <w:pPr>
        <w:pStyle w:val="Heading1"/>
      </w:pPr>
      <w:r>
        <w:t>6. Benefícios esperados</w:t>
      </w:r>
    </w:p>
    <w:p>
      <w:pPr>
        <w:pStyle w:val="ListBullet"/>
      </w:pPr>
      <w:r>
        <w:t>Maior confiança pública pela transparência comparável.</w:t>
      </w:r>
    </w:p>
    <w:p>
      <w:pPr>
        <w:pStyle w:val="ListBullet"/>
      </w:pPr>
      <w:r>
        <w:t>Diminuição de cargos sem atribuições claras.</w:t>
      </w:r>
    </w:p>
    <w:p>
      <w:pPr>
        <w:pStyle w:val="ListBullet"/>
      </w:pPr>
      <w:r>
        <w:t>Fortalecimento de carreiras efetivas para funções permanentes.</w:t>
      </w:r>
    </w:p>
    <w:p>
      <w:pPr>
        <w:pStyle w:val="ListBullet"/>
      </w:pPr>
      <w:r>
        <w:t>Redução de fraudes e anomalias de folha por trilhas de auditoria.</w:t>
      </w:r>
    </w:p>
    <w:p>
      <w:pPr>
        <w:pStyle w:val="ListBullet"/>
      </w:pPr>
      <w:r>
        <w:t>Melhoria do atendimento por simplificação e digitalização inclusiva.</w:t>
      </w:r>
    </w:p>
    <w:p>
      <w:pPr>
        <w:pStyle w:val="ListBullet"/>
      </w:pPr>
      <w:r>
        <w:t>Economia gradual, sem demissões lineares ou ruptura de serviços.</w:t>
      </w:r>
    </w:p>
    <w:p>
      <w:pPr>
        <w:pStyle w:val="Heading1"/>
      </w:pPr>
      <w:r>
        <w:t>7. Objeções e respostas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  <w:shd w:fill="17365D"/>
          </w:tcPr>
          <w:p>
            <w:r/>
            <w:r>
              <w:rPr>
                <w:b/>
                <w:color w:val="FFFFFF"/>
                <w:sz w:val="18"/>
              </w:rPr>
              <w:t>Objeção</w:t>
            </w:r>
          </w:p>
        </w:tc>
        <w:tc>
          <w:tcPr>
            <w:tcW w:type="dxa" w:w="4968"/>
            <w:vAlign w:val="center"/>
            <w:shd w:fill="17365D"/>
          </w:tcPr>
          <w:p>
            <w:r/>
            <w:r>
              <w:rPr>
                <w:b/>
                <w:color w:val="FFFFFF"/>
                <w:sz w:val="18"/>
              </w:rPr>
              <w:t>Resposta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“A IA vai substituir pessoas.”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Não. A proposta exige avaliação de risco, supervisão humana e preserva atividades que dependem de julgamento, vínculo social, fiscalização e conhecimento especializado.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“A União não pode mandar em municípios e Poderes.”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Por isso a arquitetura combina PEC, lei complementar de normas gerais, cooperação federativa e preservação expressa das competências constitucionais.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“Indicadores podem ser manipulados.”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Metodologia, dados, memória de cálculo, limitações e auditoria serão públicos; nenhum indicador será usado isoladamente.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“Cortar cargos prejudica o atendimento.”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A transição é gradual e veda redução linear que comprometa serviços essenciais ou grupos vulneráveis.</w:t>
            </w:r>
          </w:p>
        </w:tc>
      </w:tr>
      <w:tr>
        <w:tc>
          <w:tcPr>
            <w:tcW w:type="dxa" w:w="4968"/>
            <w:vAlign w:val="center"/>
          </w:tcPr>
          <w:p>
            <w:r/>
            <w:r>
              <w:rPr>
                <w:b/>
                <w:color w:val="1F2937"/>
                <w:sz w:val="18"/>
              </w:rPr>
              <w:t>“Já existe a LRF.”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A LRF controla sobretudo limites e responsabilidade fiscal. A LNERA acrescenta necessidade estrutural, qualidade, tecnologia, integridade e revisão periódica.</w:t>
            </w:r>
          </w:p>
        </w:tc>
      </w:tr>
    </w:tbl>
    <w:p>
      <w:pPr>
        <w:pStyle w:val="Heading1"/>
      </w:pPr>
      <w:r>
        <w:t>8. Estratégia legislativa sugerida</w:t>
      </w:r>
    </w:p>
    <w:p>
      <w:r>
        <w:t>A apresentação ideal é composta por PEC, lei complementar regulamentadora, notas técnicas e estudos de impacto. A PEC oferece base para padrões nacionais; a lei complementar estabelece métodos e transição; normas internas de cada Poder detalham sua aplicação.</w:t>
      </w:r>
    </w:p>
    <w:p>
      <w:pPr>
        <w:pStyle w:val="Heading1"/>
      </w:pPr>
      <w:r>
        <w:t>Referências normativas essenciais</w:t>
      </w:r>
    </w:p>
    <w:p>
      <w:pPr>
        <w:pStyle w:val="ListBullet"/>
      </w:pPr>
      <w:r>
        <w:t>BRASIL. Constituição da República Federativa do Brasil de 1988, especialmente arts. 18, 29, 37, 39, 48, 51, 52, 61, 70, 74, 75, 84, 163 e 169.</w:t>
      </w:r>
    </w:p>
    <w:p>
      <w:pPr>
        <w:pStyle w:val="ListBullet"/>
      </w:pPr>
      <w:r>
        <w:t>BRASIL. Lei Complementar nº 101, de 4 de maio de 2000 — Lei de Responsabilidade Fiscal.</w:t>
      </w:r>
    </w:p>
    <w:p>
      <w:pPr>
        <w:pStyle w:val="ListBullet"/>
      </w:pPr>
      <w:r>
        <w:t>BRASIL. Lei nº 12.527, de 18 de novembro de 2011 — Lei de Acesso à Informação.</w:t>
      </w:r>
    </w:p>
    <w:p>
      <w:pPr>
        <w:pStyle w:val="ListBullet"/>
      </w:pPr>
      <w:r>
        <w:t>BRASIL. Lei nº 13.460, de 26 de junho de 2017 — Direitos do Usuário dos Serviços Públicos.</w:t>
      </w:r>
    </w:p>
    <w:p>
      <w:pPr>
        <w:pStyle w:val="ListBullet"/>
      </w:pPr>
      <w:r>
        <w:t>BRASIL. Lei nº 14.129, de 29 de março de 2021 — Governo Digital e aumento da eficiência pública.</w:t>
      </w:r>
    </w:p>
    <w:p>
      <w:pPr>
        <w:pStyle w:val="ListBullet"/>
      </w:pPr>
      <w:r>
        <w:t>SUPREMO TRIBUNAL FEDERAL. Tema 1.010 da repercussão geral: requisitos constitucionais para criação de cargos em comissão.</w:t>
      </w:r>
    </w:p>
    <w:p>
      <w:pPr>
        <w:pStyle w:val="ListBullet"/>
      </w:pPr>
      <w:r>
        <w:t>BRASIL. Decreto nº 12.069, de 21 de junho de 2024 — Estratégia Nacional de Governo Digital 2024–2027 e Rede Gov.br.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4D6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Documento de formulação cidadã. O texto deve ser submetido à revisão de consultoria legislativa, jurídica, orçamentária e de proteção de dados antes de sua apresentação formal.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Minuta cidadã para debate público • versão inicial • julho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A5A5A"/>
        <w:sz w:val="16"/>
      </w:rPr>
      <w:t>LNERA — Lei Nacional de Eficiência e Responsabilidade Administrativa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6921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