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7365D"/>
          <w:sz w:val="62"/>
        </w:rPr>
        <w:t>LNERA</w:t>
      </w:r>
    </w:p>
    <w:p>
      <w:pPr>
        <w:jc w:val="center"/>
      </w:pPr>
      <w:r>
        <w:rPr>
          <w:b/>
          <w:color w:val="C69214"/>
          <w:sz w:val="44"/>
        </w:rPr>
        <w:t>Volume 2 — Anteprojeto de Lei Complementar</w:t>
      </w:r>
    </w:p>
    <w:p>
      <w:pPr>
        <w:jc w:val="center"/>
      </w:pPr>
      <w:r>
        <w:rPr>
          <w:i/>
          <w:color w:val="1F2937"/>
          <w:sz w:val="24"/>
        </w:rPr>
        <w:t>Regulamentação do SNEA, CAPQ, indicadores, transparência e transição</w:t>
      </w:r>
    </w:p>
    <w:p>
      <w:r>
        <w:br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52"/>
      </w:tblGrid>
      <w:tr>
        <w:tc>
          <w:tcPr>
            <w:tcW w:type="dxa" w:w="9936"/>
            <w:shd w:fill="EAF0F7"/>
            <w:vAlign w:val="center"/>
          </w:tcPr>
          <w:p>
            <w:r/>
            <w:r>
              <w:rPr>
                <w:b/>
                <w:color w:val="17365D"/>
                <w:sz w:val="22"/>
              </w:rPr>
              <w:t>Eficiência mensurável • Estruturas proporcionais • Transparência integral • Tecnologia responsável</w:t>
            </w:r>
          </w:p>
        </w:tc>
      </w:tr>
    </w:tbl>
    <w:p>
      <w:r>
        <w:br w:type="page"/>
      </w:r>
    </w:p>
    <w:p>
      <w:pPr>
        <w:pStyle w:val="Heading1"/>
      </w:pPr>
      <w:r>
        <w:t>Projeto de Lei Complementar nº ___, de 2026</w:t>
      </w:r>
    </w:p>
    <w:p>
      <w:r>
        <w:t>Institui normas gerais de eficiência e responsabilidade administrativa; cria o Sistema Nacional de Eficiência Administrativa – SNEA; disciplina o CAPQ; estabelece requisitos para criação, manutenção e revisão de estruturas públicas; e dá outras providências.</w:t>
      </w:r>
    </w:p>
    <w:p>
      <w:pPr>
        <w:pStyle w:val="Heading1"/>
      </w:pPr>
      <w:r>
        <w:t>CAPÍTULO I — DISPOSIÇÕES GERAIS</w:t>
      </w:r>
    </w:p>
    <w:p>
      <w:r>
        <w:t>Art. 1º Esta Lei Complementar estabelece normas gerais aplicáveis à administração pública direta e indireta, observadas a autonomia federativa, a separação dos Poderes e as competências constitucionais.</w:t>
      </w:r>
    </w:p>
    <w:p>
      <w:r>
        <w:t>Art. 2º São objetivos: elevar a qualidade dos serviços; conter expansão injustificada; profissionalizar assessoramento; reduzir riscos de integridade; ampliar transparência; e incorporar tecnologia com responsabilidade.</w:t>
      </w:r>
    </w:p>
    <w:p>
      <w:r>
        <w:t>Art. 3º São princípios: legalidade, impessoalidade, moralidade, publicidade, eficiência mensurável, proporcionalidade, economicidade, prevenção, transparência por padrão, interoperabilidade, neutralidade tecnológica, supervisão humana e proteção de dados.</w:t>
      </w:r>
    </w:p>
    <w:p>
      <w:pPr>
        <w:pStyle w:val="Heading1"/>
      </w:pPr>
      <w:r>
        <w:t>CAPÍTULO II — DO SNEA</w:t>
      </w:r>
    </w:p>
    <w:p>
      <w:r>
        <w:t>Art. 4º O SNEA é arranjo cooperativo para produção de padrões, dados, indicadores e assistência técnica, sem poder hierárquico sobre os entes participantes.</w:t>
      </w:r>
    </w:p>
    <w:p>
      <w:r>
        <w:t>Art. 5º Integram o SNEA: órgãos centrais de administração, controle interno, tribunais de contas, escolas de governo, instituições públicas de pesquisa e entidades federativas aderentes.</w:t>
      </w:r>
    </w:p>
    <w:p>
      <w:r>
        <w:t>Art. 6º O SNEA manterá Portal Nacional de Eficiência Administrativa com dados padronizados, séries históricas, metodologia, notas técnicas e painéis comparáveis.</w:t>
      </w:r>
    </w:p>
    <w:p>
      <w:pPr>
        <w:pStyle w:val="Heading1"/>
      </w:pPr>
      <w:r>
        <w:t>CAPÍTULO III — DO CAPQ</w:t>
      </w:r>
    </w:p>
    <w:p>
      <w:r>
        <w:t>Art. 7º O CAPQ é metodologia de referência para estimar estrutura adequada, custo compatível e capacidade mínima de entrega, vedado seu uso automático ou isolado.</w:t>
      </w:r>
    </w:p>
    <w:p>
      <w:r>
        <w:t>Art. 8º O CAPQ considerará população e público atendido, competências, complexidade, volume e sazonalidade da demanda, dispersão territorial, riscos, nível de digitalização, interoperabilidade, automação, qualidade, prazos e satisfação do usuário.</w:t>
      </w:r>
    </w:p>
    <w:p>
      <w:r>
        <w:t>Art. 9º A metodologia terá faixas e intervalos de confiança, ajustes por contexto e memória de cálculo pública.</w:t>
      </w:r>
    </w:p>
    <w:p>
      <w:r>
        <w:t>Art. 10. O CAPQ será revisto no máximo a cada quatro anos e sempre que mudança tecnológica ou normativa relevante alterar premissas.</w:t>
      </w:r>
    </w:p>
    <w:p>
      <w:pPr>
        <w:pStyle w:val="Heading1"/>
      </w:pPr>
      <w:r>
        <w:t>CAPÍTULO IV — DOS CARGOS EM COMISSÃO E FUNÇÕES DE CONFIANÇA</w:t>
      </w:r>
    </w:p>
    <w:p>
      <w:r>
        <w:t>Art. 11. A lei criadora descreverá atribuições, nível de responsabilidade, relação de confiança, requisitos mínimos, unidade de exercício e impacto financeiro.</w:t>
      </w:r>
    </w:p>
    <w:p>
      <w:r>
        <w:t>Art. 12. É vedada a utilização predominante de cargos em comissão para atividades técnicas, burocráticas, operacionais ou permanentes sem componente real de direção, chefia ou assessoramento.</w:t>
      </w:r>
    </w:p>
    <w:p>
      <w:r>
        <w:t>Art. 13. Cada órgão publicará razão entre cargos comissionados, funções de confiança e cargos efetivos, acompanhada de justificativa de proporcionalidade.</w:t>
      </w:r>
    </w:p>
    <w:p>
      <w:r>
        <w:t>Art. 14. A criação ou ampliação dependerá de Estudo de Necessidade Estrutural – ENE e de Teste de Alternativas Organizacionais e Tecnológicas – TAOT.</w:t>
      </w:r>
    </w:p>
    <w:p>
      <w:r>
        <w:t>Art. 15. A remuneração e a quantidade de cargos não poderão ser aumentadas nos cento e oitenta dias anteriores ao término do mandato da autoridade competente, salvo reposição legal geral, decisão judicial ou situação emergencial devidamente motivada.</w:t>
      </w:r>
    </w:p>
    <w:p>
      <w:pPr>
        <w:pStyle w:val="Heading1"/>
      </w:pPr>
      <w:r>
        <w:t>CAPÍTULO V — DO ENE E DO TAOT</w:t>
      </w:r>
    </w:p>
    <w:p>
      <w:r>
        <w:t>Art. 16. O ENE conterá problema público, demanda, alternativas, custo total, riscos, competências necessárias, metas, prazo de revisão e impacto sobre a qualidade.</w:t>
      </w:r>
    </w:p>
    <w:p>
      <w:r>
        <w:t>Art. 17. O TAOT examinará, sem ordem obrigatória, simplificação, eliminação, integração, compartilhamento, centralização de apoio, digitalização, automação e IA.</w:t>
      </w:r>
    </w:p>
    <w:p>
      <w:r>
        <w:t>Art. 18. A tecnologia não será considerada substituta suficiente quando houver risco relevante a direitos, necessidade de julgamento humano, atendimento inclusivo, fiscalização presencial ou conhecimento especializado não automatizável.</w:t>
      </w:r>
    </w:p>
    <w:p>
      <w:pPr>
        <w:pStyle w:val="Heading1"/>
      </w:pPr>
      <w:r>
        <w:t>CAPÍTULO VI — DOS INDICADORES</w:t>
      </w:r>
    </w:p>
    <w:p>
      <w:r>
        <w:t>Art. 19. Ficam instituídos: INEA, ICEP, IPA, IAT e Índice de Integridade Estrutural – IIE.</w:t>
      </w:r>
    </w:p>
    <w:p>
      <w:r>
        <w:t>Art. 20. Indicadores não poderão avaliar isoladamente parlamentares, magistrados, membros do Ministério Público ou servidores por quantidade bruta de atos, devendo considerar qualidade, complexidade e competências constitucionais.</w:t>
      </w:r>
    </w:p>
    <w:p>
      <w:r>
        <w:t>Art. 21. Metodologias, pesos, fontes, limitações e margens de erro serão públicos e auditáveis.</w:t>
      </w:r>
    </w:p>
    <w:p>
      <w:pPr>
        <w:pStyle w:val="Heading1"/>
      </w:pPr>
      <w:r>
        <w:t>CAPÍTULO VII — TRANSPARÊNCIA E INTEGRIDADE</w:t>
      </w:r>
    </w:p>
    <w:p>
      <w:r>
        <w:t>Art. 22. Serão divulgados quadro autorizado e ocupado, remuneração, lotação institucional, atribuições, vínculos, vacâncias, custos agregados, relatórios de atividades e séries históricas, observado o regime de proteção de dados.</w:t>
      </w:r>
    </w:p>
    <w:p>
      <w:r>
        <w:t>Art. 23. Folhas de pagamento e cadastros funcionais serão submetidos a controles automatizados de anomalias, segregação de funções e trilhas de auditoria.</w:t>
      </w:r>
    </w:p>
    <w:p>
      <w:r>
        <w:t>Art. 24. Pagamentos, frequência e entregas não poderão ser condicionados a repasse, doação ou vantagem a autoridade, partido, agente ou terceiro, sem prejuízo das sanções penais, civis e administrativas.</w:t>
      </w:r>
    </w:p>
    <w:p>
      <w:r>
        <w:t>Art. 25. Canais protegidos de denúncia e auditorias baseadas em risco integrarão o programa de integridade.</w:t>
      </w:r>
    </w:p>
    <w:p>
      <w:pPr>
        <w:pStyle w:val="Heading1"/>
      </w:pPr>
      <w:r>
        <w:t>CAPÍTULO VIII — IA E GOVERNO DIGITAL</w:t>
      </w:r>
    </w:p>
    <w:p>
      <w:r>
        <w:t>Art. 26. Sistemas de IA serão classificados por risco, documentados, monitorados e submetidos a responsável humano.</w:t>
      </w:r>
    </w:p>
    <w:p>
      <w:r>
        <w:t>Art. 27. É vedado usar IA para fabricar entregas fictícias, ocultar ausência de trabalho, tomar decisão sancionatória final sem revisão humana ou processar dados além da finalidade legítima.</w:t>
      </w:r>
    </w:p>
    <w:p>
      <w:r>
        <w:t>Art. 28. A adoção tecnológica deverá incluir capacitação, acessibilidade, segurança cibernética, continuidade, avaliação de impacto e alternativa de atendimento humano quando necessária.</w:t>
      </w:r>
    </w:p>
    <w:p>
      <w:pPr>
        <w:pStyle w:val="Heading1"/>
      </w:pPr>
      <w:r>
        <w:t>CAPÍTULO IX — REVISÃO E TRANSIÇÃO</w:t>
      </w:r>
    </w:p>
    <w:p>
      <w:r>
        <w:t>Art. 29. Estruturas serão revistas a cada quatro anos, com relatório público e plano de ação.</w:t>
      </w:r>
    </w:p>
    <w:p>
      <w:r>
        <w:t>Art. 30. Adequações ocorrerão preferencialmente por vacância, não reposição seletiva, transformação de cargos, concursos para funções permanentes, capacitação e compartilhamento de serviços.</w:t>
      </w:r>
    </w:p>
    <w:p>
      <w:r>
        <w:t>Art. 31. É vedada redução linear que comprometa serviços essenciais, controle, proteção social ou atendimento de grupos vulneráveis.</w:t>
      </w:r>
    </w:p>
    <w:p>
      <w:r>
        <w:t>Art. 32. O primeiro diagnóstico ocorrerá em vinte e quatro meses; planos de adequação poderão ter prazo de até oito anos.</w:t>
      </w:r>
    </w:p>
    <w:p>
      <w:pPr>
        <w:pStyle w:val="Heading1"/>
      </w:pPr>
      <w:r>
        <w:t>CAPÍTULO X — CONTROLE E RESPONSABILIZAÇÃO</w:t>
      </w:r>
    </w:p>
    <w:p>
      <w:r>
        <w:t>Art. 33. O descumprimento injustificado sujeita a recomendações, alertas, determinação de plano corretivo e demais consequências previstas na legislação, garantidos contraditório e ampla defesa.</w:t>
      </w:r>
    </w:p>
    <w:p>
      <w:r>
        <w:t>Art. 34. A mera divergência metodológica de boa-fé não caracteriza ilícito; responsabilização exigirá dolo ou erro grosseiro, na forma da legislação aplicável.</w:t>
      </w:r>
    </w:p>
    <w:p>
      <w:r>
        <w:t>Art. 35. Esta Lei entra em vigor após cento e oitenta dias de sua publicação.</w:t>
      </w:r>
    </w:p>
    <w:p>
      <w:pPr>
        <w:pStyle w:val="Heading1"/>
      </w:pPr>
      <w:r>
        <w:t>Referências normativas essenciais</w:t>
      </w:r>
    </w:p>
    <w:p>
      <w:pPr>
        <w:pStyle w:val="ListBullet"/>
      </w:pPr>
      <w:r>
        <w:t>BRASIL. Constituição da República Federativa do Brasil de 1988, especialmente arts. 18, 29, 37, 39, 48, 51, 52, 61, 70, 74, 75, 84, 163 e 169.</w:t>
      </w:r>
    </w:p>
    <w:p>
      <w:pPr>
        <w:pStyle w:val="ListBullet"/>
      </w:pPr>
      <w:r>
        <w:t>BRASIL. Lei Complementar nº 101, de 4 de maio de 2000 — Lei de Responsabilidade Fiscal.</w:t>
      </w:r>
    </w:p>
    <w:p>
      <w:pPr>
        <w:pStyle w:val="ListBullet"/>
      </w:pPr>
      <w:r>
        <w:t>BRASIL. Lei nº 12.527, de 18 de novembro de 2011 — Lei de Acesso à Informação.</w:t>
      </w:r>
    </w:p>
    <w:p>
      <w:pPr>
        <w:pStyle w:val="ListBullet"/>
      </w:pPr>
      <w:r>
        <w:t>BRASIL. Lei nº 13.460, de 26 de junho de 2017 — Direitos do Usuário dos Serviços Públicos.</w:t>
      </w:r>
    </w:p>
    <w:p>
      <w:pPr>
        <w:pStyle w:val="ListBullet"/>
      </w:pPr>
      <w:r>
        <w:t>BRASIL. Lei nº 14.129, de 29 de março de 2021 — Governo Digital e aumento da eficiência pública.</w:t>
      </w:r>
    </w:p>
    <w:p>
      <w:pPr>
        <w:pStyle w:val="ListBullet"/>
      </w:pPr>
      <w:r>
        <w:t>SUPREMO TRIBUNAL FEDERAL. Tema 1.010 da repercussão geral: requisitos constitucionais para criação de cargos em comissão.</w:t>
      </w:r>
    </w:p>
    <w:p>
      <w:pPr>
        <w:pStyle w:val="ListBullet"/>
      </w:pPr>
      <w:r>
        <w:t>BRASIL. Decreto nº 12.069, de 21 de junho de 2024 — Estratégia Nacional de Governo Digital 2024–2027 e Rede Gov.br.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FF4D6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Documento de formulação cidadã. O texto deve ser submetido à revisão de consultoria legislativa, jurídica, orçamentária e de proteção de dados antes de sua apresentação formal.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Minuta cidadã para debate público • versão inicial • julho de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A5A5A"/>
        <w:sz w:val="16"/>
      </w:rPr>
      <w:t>LNERA — Lei Nacional de Eficiência e Responsabilidade Administrativa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6921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F293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